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11 vom 16. Mai 1980</w:t>
      </w:r>
    </w:p>
    <w:p>
      <w:r>
        <w:t>Bundesgericht (BGE), 1980-05-16, DE</w:t>
      </w:r>
    </w:p>
    <w:p>
      <w:r>
        <w:rPr>
          <w:b/>
        </w:rPr>
        <w:t xml:space="preserve">Quelle: </w:t>
      </w:r>
      <w:r>
        <w:t>https://mcp.opencaselaw.ch/entscheid/bge_106 IB 11</w:t>
      </w:r>
    </w:p>
    <w:p>
      <w:r>
        <w:t>FR: BGE 106 IB 11 du 16 mai 1980</w:t>
      </w:r>
    </w:p>
    <w:p>
      <w:r>
        <w:t>IT: BGE 106 IB 11 del 16 maggio 1980</w:t>
      </w:r>
    </w:p>
    <w:p>
      <w:pPr>
        <w:pStyle w:val="Heading2"/>
      </w:pPr>
      <w:r>
        <w:t>Regeste</w:t>
      </w:r>
    </w:p>
    <w:p>
      <w:r>
        <w:t>Regeste BB vom 23. März 1961/21. März 1973 über den Erwerb von Grundstücken durch Personen im Ausland (BewB). 1. Die nach BewB zuständigen Behörden sind zur Anordnung einer Grundbuchberichtigung nicht befugt (Erw. 2). 2. Für die Beurteilung der Frage, ob ein Geschäft im Sinne von Art. 2 lit. e BewB bewilligungspflichtig ist, sind die Verhältnisse im Zeitpunkt der Übertragung der entsprechenden Rechte massgebend (Erw. 3).</w:t>
      </w:r>
    </w:p>
    <w:p>
      <w:pPr>
        <w:pStyle w:val="Heading2"/>
      </w:pPr>
      <w:r>
        <w:t>Erwägungen</w:t>
      </w:r>
    </w:p>
    <w:p>
      <w:r>
        <w:rPr>
          <w:b/>
        </w:rPr>
        <w:t>E. 2</w:t>
      </w:r>
    </w:p>
    <w:p>
      <w:r>
        <w:t>Das Bundesamt für Justiz führt in seiner Vernehmlassung aus, es wäre zuerst zu prüfen gewesen, ob Jenny Schmidt-Buck seinerzeit wirklich Eigentümerin der fraglichen Grundstücke geworden sei. Jenny Schmidt-Buck, bzw. ihre Erben, sind im Grundbuch als Eigentümer der zur Diskussion stehenden Grundstücke eingetragen. Nach der Rechtsprechung des Bundesgerichtes können aber bereits vollzogene Eintragungen im Grundbuch, mit Ausnahme der in Art. 98 Abs. 2 und 99 GBV vorgesehenen Fälle, nur auf Anordnung des Zivilrichters berichtigt werden ( BGE 98 Ia 186 E. 2 mit Hinweisen, vgl. namentlich BGE 68 I 124 E. 1, BGE 65 I 160 ). Die nach BewB zuständigen Behörden sind demnach zur Anordnung einer Berichtigung, bzw. zum Entscheid über die Gültigkeit eines Grundbucheintrages, nicht befugt. Gemäss Art. 22 BewB (Art. 13 aBewB) sind dagegen die beschwerdeberechtigten kantonalen Behörden im Interesse der Durchsetzung der Bestimmungen des BewB zur Klage legitimiert. Der Entscheid, ob eine solche Klage noch angestrengt werden kann, steht nach dieser Bestimmung ausschliesslich der zuständigen kantonalen Behörde, im vorliegenden Fall also der im Kanton Zürich nach Art. 10 lit. b BewB zuständigen Behörde, zu. Es ist aus diesen Gründen im vorliegenden Verfahren nur zu prüfen, ob die vier Grundstück-Kaufverträge Vom 27. November 1975, 5. und 6. Mai 1976 der Bewilligungspflicht unterstehen.</w:t>
      </w:r>
    </w:p>
    <w:p>
      <w:r>
        <w:rPr>
          <w:b/>
        </w:rPr>
        <w:t>E. 3</w:t>
      </w:r>
    </w:p>
    <w:p>
      <w:r>
        <w:t>a) Nach Art. 1 BewB untersteht der Erwerb von Grundstücken in der Schweiz durch Personen im Ausland der Bewilligung durch die zuständige kantonale Behörde. Als Erwerb im Sinne dieser Bestimmung gilt die Eintragung im Grundbuch, die nach Art. 656 Abs. 1 ZGB Voraussetzung für den Eigentumsübergang an Immobiliar-Rechten ist. Für die Frage, ob ein solches Geschäft bewilligungspflichtig sei, bzw. ob die Bewilligung zum Erwerb des Grundstücks durch eine BGE 106 Ib 11 S. 14 Person im Ausland erteilt werden könne, ist deshalb grundsätzlich der Zeitpunkt der Anmeldung zum Grundbuch-Eintrag massgebend ( BGE 101 Ib 386 f. E. 2 mit Hinweisen). Gemäss Art. 2 lit. e BewB ist dem Erwerb von Grundstücken jedoch unter anderem der Erwerb von Rechten gleichgestellt, mit denen sich nach Inhalt oder Umfang ähnliche wirtschaftliche Zwecke erreichen lassen wie mit dem Erwerb von Eigentum oder von Rechten an Grundstücken. Diese Gleichstellung kann namentlich gegeben sein bei Treuhandgeschäften (Entscheid vom 14. Februar 1977 i.S. U. in ZBGR 1978 S. 243 ff. E. 3 b, c), bei Miet- oder Pachtverträgen ( BGE 104 Ib 143 ff. E. 1) oder bei Kreditgeschäften - allenfalls in Verbindung mit Mietverträgen ( BGE 105 Ib 321 ). Die Aufzählung in Art. 2 lit. e BewB ist jedoch nicht abschliessend (vgl. A. MUFF, von der Lex Von Moos zur Lex Furgler in ZBGR 1974 S. 132). Art. 2 lit. e BewB bezweckt in allgemeiner Weise, eine Umgehung der in Art. 1 BewB vorgesehenen Bewilligungspflicht zu verhindern (BBl 1972 II 1254, Sten. Bull. SR 1973 S. 15 f.), ohne dass es auf den subjektiven Willen der Parteien ankäme ( BGE 104 Ib 144 E. 1 a, vgl. auch Sten. Bull. NR 1972 S. 2218 ff.). Massgebend ist nur, was sich mit den von den Parteien eingegangenen Rechtsbeziehungen wirtschaftlich erreichen lässt und ob sich die von den Parteien abgeschlossenen, auch bloss obligatorischen Geschäfte in ihrer Wirkung dem Erwerb von dinglichen Rechten nähern. Solche Rechtsgeschäfte sind deshalb nicht allein unter dem Gesichtswinkel der üblichen juristischen, sondern auch unter wirtschaftlicher Betrachtungsweise zu beurteilen ( BGE 105 Ib 323 E. 1a). Eine Mehrzahl von Vereinbarungen ist demgemäss als Gesamtheit zu betrachten und die Stellung des aus diesen Geschäften Berechtigten ist als solche zu prüfen. In diesen Fällen ist für die Beurteilung, ob dem Berechtigten eine eigentümerähnliche Stellung eingeräumt wird und das Geschäft aus diesem Grunde bewilligungspflichtig sei, bzw. ob die Bewilligung erteilt werden könne, auf die Verhältnisse im Zeitpunkt der Übertragung der entsprechenden Rechte, im allgemeinen also des Vertragsschlusses, abzustellen. b) Die Parteien haben im vorliegenden Fall die Kaufverträge über die vier Grundstücke zu einer Zeit abgeschlossen, als der Beschwerdeführer die Voraussetzungen für einen bewilligungsfreien Erwerb Von Grundstücken in der Schweiz unbestritten noch nicht erfüllte. Sie haben deswegen den Eigentumsübergang, BGE 106 Ib 11 S. 15 bzw. die Eintragung im Grundbuch, hinausgeschoben. Ob ein solcher Aufschub des Vollzugs allein schon genügen würde, um einen derart abgeschlossenen Kaufvertrag im Sinne von Art. 2 lit. e BewB dem Erwerb gleichzustellen, oder ob es für einen solchen Aufschub des Vollzuges legitime Gründe geben kann, braucht im vorliegenden Fall nicht geprüft zu werden. Angesichts der Ungewöhnlichkeit dieses Vorgehens, das - wie hier in den Kaufverträgen ausdrücklich bestätigt wird - namentlich, wenn nicht ausschliesslich, im Hinblick auf die Bestimmungen des BewB gewählt wird, ist jedenfalls besonders genau zu prüfen, welche Stellung dem Käufer schon nach dem bloss obligatorischen Vertrag zukommt. Der Beschwerdeführer sollte im vorliegenden Fall nach dreien der vier Kaufverträge den Besitz an den Grundstücken mit Nutzen und Gefahr sofort antreten. Er erhielt ausserdem für alle vier Grundstücke nicht nur das Recht, den Grundbucheintrag ohne Mitwirkung der Verkäuferin zu veranlassen, sondern auch, diese Grundstücke - im Namen der Verkäuferin - sogar schon vor dem dinglichen Erwerb der betreffenden Liegenschaften zu veräussern. Damit wurden ihm die wichtigsten wirtschaftlich bedeutsamen Eigentümerbefugnisse schon mit Abschluss des Kaufvertrages übertragen und es wurden deshalb schon mit den Kaufverträgen selbst ähnliche wirtschaftliche Zwecke erreicht, wie mit dem Erwerb des Eigentums an den Grundstücken. Die Voraussetzungen der Bewilligungspflicht im Sinne von Art. 2 lit. e BewB sind damit erfüllt. Daran ändert nichts, dass dem Beschwerdeführer diese eigentümerähnliche Stellung bloss befristet eingeräumt wurde. Entscheidend ist, dass er im Zeitpunkt der Übertragung der entsprechenden Rechte der Bewilligungspflicht unterstand und einer Bewilligung bedurft hätte, die ihm nicht erteilt werden konnte. Die Feststellung der Bewilligungspflicht durch die Vorinstanz ist damit zu Recht erfolgt und die Beschwerde ist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